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52"/>
          <w:szCs w:val="52"/>
          <w:lang w:eastAsia="zh-CN"/>
        </w:rPr>
      </w:pPr>
      <w:r>
        <w:rPr>
          <w:rFonts w:hint="eastAsia" w:ascii="黑体" w:eastAsia="黑体"/>
          <w:sz w:val="52"/>
          <w:szCs w:val="52"/>
          <w:lang w:eastAsia="zh-CN"/>
        </w:rPr>
        <w:t>信阳市卫生计生系统</w:t>
      </w:r>
    </w:p>
    <w:p>
      <w:pPr>
        <w:jc w:val="center"/>
        <w:rPr>
          <w:rFonts w:hint="eastAsia" w:ascii="黑体" w:eastAsia="黑体"/>
          <w:sz w:val="52"/>
          <w:szCs w:val="52"/>
          <w:lang w:eastAsia="zh-CN"/>
        </w:rPr>
      </w:pPr>
      <w:r>
        <w:rPr>
          <w:rFonts w:hint="eastAsia" w:ascii="黑体" w:eastAsia="黑体"/>
          <w:sz w:val="52"/>
          <w:szCs w:val="52"/>
          <w:lang w:eastAsia="zh-CN"/>
        </w:rPr>
        <w:t>扫黑除恶专项斗争</w:t>
      </w:r>
    </w:p>
    <w:p>
      <w:pPr>
        <w:jc w:val="center"/>
        <w:rPr>
          <w:rFonts w:hint="eastAsia" w:ascii="黑体" w:eastAsia="黑体"/>
          <w:sz w:val="52"/>
          <w:szCs w:val="52"/>
          <w:lang w:eastAsia="zh-CN"/>
        </w:rPr>
      </w:pPr>
      <w:r>
        <w:rPr>
          <w:rFonts w:hint="eastAsia" w:ascii="黑体" w:eastAsia="黑体"/>
          <w:sz w:val="52"/>
          <w:szCs w:val="52"/>
          <w:lang w:eastAsia="zh-CN"/>
        </w:rPr>
        <w:t>普及读本</w:t>
      </w:r>
      <w:r>
        <w:rPr>
          <w:rFonts w:hint="eastAsia" w:ascii="黑体" w:eastAsia="黑体"/>
          <w:sz w:val="52"/>
          <w:szCs w:val="52"/>
          <w:lang w:eastAsia="zh-CN"/>
        </w:rPr>
        <w:br w:type="textWrapping"/>
      </w: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lang w:eastAsia="zh-CN"/>
        </w:rPr>
      </w:pPr>
    </w:p>
    <w:p>
      <w:pPr>
        <w:jc w:val="center"/>
        <w:rPr>
          <w:rFonts w:hint="eastAsia" w:ascii="黑体" w:eastAsia="黑体"/>
          <w:sz w:val="44"/>
          <w:szCs w:val="44"/>
        </w:rPr>
      </w:pPr>
    </w:p>
    <w:p>
      <w:pPr>
        <w:numPr>
          <w:ilvl w:val="0"/>
          <w:numId w:val="1"/>
        </w:numPr>
        <w:jc w:val="center"/>
        <w:rPr>
          <w:rFonts w:hint="eastAsia" w:ascii="黑体" w:eastAsia="黑体"/>
          <w:sz w:val="44"/>
          <w:szCs w:val="44"/>
        </w:rPr>
      </w:pPr>
      <w:r>
        <w:rPr>
          <w:rFonts w:hint="eastAsia" w:ascii="黑体" w:eastAsia="黑体"/>
          <w:sz w:val="44"/>
          <w:szCs w:val="44"/>
        </w:rPr>
        <w:t>政策解读</w:t>
      </w:r>
    </w:p>
    <w:p>
      <w:pPr>
        <w:widowControl w:val="0"/>
        <w:numPr>
          <w:ilvl w:val="0"/>
          <w:numId w:val="0"/>
        </w:numPr>
        <w:jc w:val="center"/>
        <w:rPr>
          <w:rFonts w:hint="eastAsia" w:ascii="黑体" w:eastAsia="黑体"/>
          <w:sz w:val="44"/>
          <w:szCs w:val="44"/>
        </w:rPr>
      </w:pPr>
    </w:p>
    <w:p>
      <w:pPr>
        <w:widowControl w:val="0"/>
        <w:numPr>
          <w:ilvl w:val="0"/>
          <w:numId w:val="0"/>
        </w:numPr>
        <w:jc w:val="center"/>
        <w:rPr>
          <w:rFonts w:hint="eastAsia" w:ascii="黑体" w:eastAsia="黑体"/>
          <w:sz w:val="44"/>
          <w:szCs w:val="44"/>
        </w:rPr>
      </w:pPr>
    </w:p>
    <w:p>
      <w:pPr>
        <w:widowControl w:val="0"/>
        <w:numPr>
          <w:ilvl w:val="0"/>
          <w:numId w:val="0"/>
        </w:numPr>
        <w:jc w:val="center"/>
        <w:rPr>
          <w:rFonts w:hint="eastAsia" w:ascii="黑体" w:eastAsia="黑体"/>
          <w:sz w:val="44"/>
          <w:szCs w:val="44"/>
        </w:rPr>
      </w:pPr>
    </w:p>
    <w:p>
      <w:pPr>
        <w:widowControl w:val="0"/>
        <w:numPr>
          <w:ilvl w:val="0"/>
          <w:numId w:val="0"/>
        </w:numPr>
        <w:jc w:val="center"/>
        <w:rPr>
          <w:rFonts w:hint="eastAsia" w:ascii="黑体" w:eastAsia="黑体"/>
          <w:sz w:val="44"/>
          <w:szCs w:val="44"/>
        </w:rPr>
      </w:pPr>
    </w:p>
    <w:p>
      <w:pPr>
        <w:widowControl w:val="0"/>
        <w:numPr>
          <w:ilvl w:val="0"/>
          <w:numId w:val="0"/>
        </w:numPr>
        <w:jc w:val="center"/>
        <w:rPr>
          <w:rFonts w:hint="eastAsia" w:ascii="黑体" w:eastAsia="黑体"/>
          <w:sz w:val="44"/>
          <w:szCs w:val="44"/>
        </w:rPr>
      </w:pPr>
    </w:p>
    <w:p>
      <w:pPr>
        <w:widowControl w:val="0"/>
        <w:numPr>
          <w:ilvl w:val="0"/>
          <w:numId w:val="0"/>
        </w:numPr>
        <w:jc w:val="center"/>
        <w:rPr>
          <w:rFonts w:hint="eastAsia" w:asci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1、为什么要开展扫黑除恶专项斗争？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为认真贯彻党的十九大精神和习近平总书记重要指示精神，切实扫除黑恶势力，保障人民安居乐业、社会安定有序、国家长治久安，党中央、国务院决定，自2018年至2020年，在全国开展扫黑除恶专项斗争。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2、开展扫黑除恶专项斗争的重要意义是什么？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事关社会大局稳定和国家长治久安，事关人心向背和基层政权巩固，事关进行伟大斗争、建设伟大工程、推进伟大事业、实现伟大梦想。</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3、扫黑除恶专项斗争的目标任务是什么？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仿宋_GB2312" w:hAnsi="黑体"/>
          <w:sz w:val="30"/>
          <w:szCs w:val="30"/>
        </w:rPr>
        <w:t>通过3年不懈努力，黑恶势力违法犯罪特别是农村涉黑涉恶问题得到根本遏制，涉黑涉恶治安乱点得到全面整治，重点行业、重点领域管理得到明显加强，人民群众安全感、满意度明显提升；黑恶势力“保护伞”得以铲除，加强基层组织建设的环境明显优化；基层社会治理能力明显提升，涉黑涉恶违法犯罪防范打击长效机制更加健全，扫黑除恶工作法治化、规范化、专业化水平进一步提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4、扫黑除恶专项斗争的时间安排是什么？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2018年1月进行部署，正式启动扫黑除恶专项斗争。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2018年，深入推进扫黑除恶专项斗争，黑恶势力违法犯罪突出问题得到有效遏制，在全社会形成对黑恶势力人人喊打的浓厚氛围。</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2019年，对尚未攻克的重点案件、重点问题、重点地区集中攻坚，对已侦破的案件循线深挖、逐一见底，彻底铲除黑恶势力赖以滋生的土壤。</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2020年，建立健全遏制黑恶势力滋生蔓延的长效机制，取得扫黑除恶专项斗争压倒性胜利。</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5、扫黑除恶专项斗争的重点打击对象有哪些？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（1）威胁政治安全特别是制度安全、政权安全以及向政治领域渗透的黑恶势力；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（2）把持基层政权、操纵破坏基层换届选举、垄断农村资源、侵吞集体资产的黑恶势力；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（3）利用家族、宗族势力横行乡里、称霸一方、欺压残害百姓的“村霸”等黑恶势力；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（4）在征地、租地、拆迁、工程项目建设等过程中煽动闹事的黑恶势力；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（5）在建筑工程、交通运输、矿产资源、渔业捕捞等行业、领域，强揽工程、恶意竞标、非法占地、滥开滥采的黑恶势力；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（6）在商贸集市、批发市场、车站码头、旅游景区等欺行霸市、强买强卖、收保护费的市霸、行霸等黑恶势力；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（7）操纵、经营“黄赌毒”等违法犯罪活动的黑恶势力；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（8）非法高利放贷、暴力讨债的黑恶势力；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（9）插手民间纠纷，充当“地下执法队”的黑恶势力；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（10）境外黑社会入境发展渗透以及跨国跨境的黑恶势力。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6、“扫黑除恶”与“打黑除恶”相比有哪些变化？</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意味着在广度、深度、力度等方面有了更高的要求，彰显党中央除恶务尽，坚决将黑恶势力的嚣张气焰打下去，切实保障人民安居乐业、社会安定有序、国家长治久安的坚强决心和信心。</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7、扫黑除恶专项斗争有哪五项工作措施？</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摸线索，打犯罪，挖“保护伞”，治源头，强组织。</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8、如何理解“打一场扫黑除恶人民战争”？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（1）采取多种形式，动员人民群众积极投身扫黑除恶专项斗争。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（2）设立全国扫黑除恶专项斗争举报信箱和专门举报网站，发动群众举报涉黑涉恶犯罪和“村霸”等突出问题。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（3）各地区各有关部门通过多种形式畅通举报渠道。对群众的实名举报，及时核查反馈，做到件件有回音。</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（4）完善并严格落实举报人、证人、鉴定人、被害人及其近亲属相关保护措施，消除群众后顾之忧。</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（5）加大有奖举报力度，提高奖励标准。综合运用传统媒体和新媒体，加强正面宣传，充分展现党委和政府扫黑除恶的决心和成效。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（6）有计划地宣传一批典型案件，彰显法治权威，切实增强人民群众同黑恶势力作斗争的信心，形成全社会扫黑除恶的浓厚氛围。</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（7）做好法律政策宣讲、解疑释惑等工作，避免和消除社会误解等。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8）完善群众安全感测评方式，探索以乡镇（街道）为单位对全体居民开展安全感、满意度调查，切实加大群众意见在扫黑除恶专项斗争绩效考评中的权重，确保扫黑除恶专项斗争始终顺应群众意愿、得到人民认可。</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9、什么样的组织是黑社会性质的组织?</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黑社会性质的组织有四个方面的特征：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（1）形成较稳定的犯罪组织，人数较多，有明确的组织者、领导者，骨干成员基本固定;</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（2）有组织地通过违法犯罪活动或者其他手段获取经济利益，具有一定的经济实力，以支持该组织的活动;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（3）以暴力、威胁或者其他手段，有组织地多次进行违法犯罪活动，为非作恶，欺压、残害群众;</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（4）通过实施违法犯罪活动，或者利用国家工作人员的包庇或者纵容，称霸一方，在一定区域或者行业内，形成非法控制或者重大影响，严重破坏经济、社会生活秩序。</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10、什么是“恶势力”组织?</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经常纠集在一起，以暴力、威胁或者其他手段，在一定区域或者行业内多次实施违法犯罪活动，为非作恶，欺压百姓，扰乱经济、社会生活秩序，造成较为恶劣的社会影响，但尚未形成黑社会性质组织的违法犯罪组织。</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恶势力一般为三人以上，纠集者相对固定，违法犯罪活动主要为强迫交易、故意伤害、非法拘禁、敲诈勒索、故意毁坏财物、聚众斗殴、寻衅滋事等，同时还可能伴随实施开设赌场、组织卖淫、强迫卖淫、贩卖毒品、运输毒品、制造毒品、抢劫、抢夺、聚众扰乱社会秩序、聚众扰乱公共场所秩序、交通秩序以及聚众“打砸抢”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11、黑恶势力常见外在表现形式有哪些？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（1）佩戴夸张金银饰品炫耀的人员和以凶兽纹身等彪悍、跋扈人员从事违法活动的；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（2）态度蛮横、粗暴，随身随车携带管制刀具或棍棒的；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（3）昼伏夜出，在夜宵摊等公共场所成群结伙、惹是生非的；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（4）社会闲散人员参与开发商征地拆迁，以摆队形、站场子等形式威胁、恐吓征地拆迁对象的；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（5）控制土方、沙石、钢材等材料市场价格，存在明显不符合市场规律经营行为的；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（6）在一定范围内独揽建设工程、商品供应的；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（7）强行介入酒店、娱乐场所的酒水、食品等供应的；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（8）在各类市场中，为争夺业务而追逐、拦截、恐吓当事人，并经常更换从业人员的；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（9）在娱乐场所中存在卖淫嫖娼、赌博、吸食注射毒品情形的；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（10）KTV、酒吧等场所以内保人员身份在处置场所内发生纠纷时肆意侵害他人合法权益；</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（11）在纠纷、伤害类警情处置中，报警人称有社会闲散人员参与其中的；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（12）无关人员刺探、干扰、阻挠公安机关案件办理的；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（13）在外来人员聚集区域，以所谓个人影响力私下调停各类纠纷的；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（14）有赌博等涉黑涉恶违法犯罪前科，且当前无固定职业或稳定经济来源、多次反复出入境的；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（15）在医院、私人诊所等医疗机构接诊过程中，发现有刀伤、枪伤等可疑情形的；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（16）外来人员以亲缘、地缘为纽带拉帮结派，排挤他人在一定区域从事美容美发、足浴等经营的；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（17）以管理费、卫生费等为名，向经营业主强行摊派或收取费用的；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（18）在娱乐场所中控制多名“失足人员”，频繁更换服务场所的；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（19）在宾馆、浴室、KTV等休闲娱乐场所发放小卡片，为客人提供色情服务的；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（20）在广场、商场、停车场等公共场所散发、张贴追讨债务、私人调查、贷款担保等小广告的；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（21）在工程建设招投标过程中，招、投标方恶意串标或投标人相互勾结进行围标的；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（22）因各类纠纷引发砸玻璃窗、损毁门锁、随意喷涂、破坏监控等情形的；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（23）无正当经济来源却驾驶豪车、经常出入酒店等高档消费场所的；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（24）在一定范围内多次向企事业主、经营户强行推销茶叶、红酒、礼品高附加值等商品行为的；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（25）以过生日、搬家、公司开张等各种理由摆酒宴客，强行索要礼金的；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（26）在酒店、娱乐场所长期挂单、强行消费的；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（27）以接受他人委托为名讨要债务，采用贴身跟随、逗留债务人住所、短期非法拘禁等手段逼债讨债的；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（28）本地人员突然异常举家搬迁或下落不明的；</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（29）其他需要关注的异常情况。</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12、在扫黑除恶专项斗争中，纪检监察机构的作用是什么？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把扫黑除恶同反腐败斗争和基层“拍蝇”结合起来，深挖黑恶势力“保护伞”。聚焦黑恶势力背后的腐败问题，坚决查处涉黑涉恶腐败，坚决打掉黑恶势力“保护伞”，为从源头上遏制黑恶势力，增强人民群众获得感、幸福感、安全感，夯实党的执政基础提供坚强纪律保障。</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13、黑恶势力“保护伞”的行为表现有哪些？</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（1）行使公权力的公职人员不作为、乱作为致使黑恶势力逃避打击、坐大成势；</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（2）违规违法为黑恶分子入党、当选基层干部、人大代表、政协委员提供帮助；</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（3）怠于履行管理职责、为黑恶犯罪分子摄取非法利益提供便利条件；</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（4）干扰办案、为黑恶犯罪分子通风报信、袒护说情等。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14、深挖彻查黑恶势力“保护伞”要求做到的“两个一律”是什么？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（1）对涉黑涉恶犯罪案件，一律深挖其背后腐败问题；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（2）对黑恶势力“关系网”“保护伞”，一律一查到底、绝不姑息。</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15、在扫黑除恶专项斗争中，组织部门的作用是什么？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（1）充分发挥基层党组织政治功能，组织发动群众积极参与扫黑除恶专项斗争；</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（2）持续整顿软弱涣散基层党组织，为铲除黑恶势力滋生土壤提供坚强组织保证；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（3）在村“两委”换届选举中严格人选把关，坚决把涉黑涉恶等不符合村干部条件的人挡在门外。</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16、如何严格规范村“两委”换届选举，严防黑恶势力染指基层政权？</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（1）各级党组织加强对村“两委”换届的组织领导，组织、民政等部门加强具体指导，县乡两级党委直接抓在手上。树立正确选人导向，严格人选标准，明确资格条件，把好入口关。</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（2）对不选什么样的人旗帜鲜明、列出负面清单，坚决防止“村霸”、涉黑涉恶等不符合村干部条件的人进入村“两委”班子。</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（3）乡镇党委严格人选资格审查，县级组织、民政部门会同纪检监察、公安、检察院、法院、司法行政、信访等相关部门建立候选人联审机制，及时发现涉黑涉恶人员。</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（4）对黑恶势力通过威胁、贿赂、利诱等方式干扰破坏选举的，坚决依法打击。</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eastAsia="黑体"/>
          <w:sz w:val="30"/>
          <w:szCs w:val="30"/>
        </w:rPr>
      </w:pPr>
      <w:r>
        <w:rPr>
          <w:rFonts w:hint="eastAsia" w:ascii="黑体" w:eastAsia="黑体"/>
          <w:sz w:val="30"/>
          <w:szCs w:val="30"/>
        </w:rPr>
        <w:t>17、如何加强基层组织建设，为铲除黑恶势力滋生土壤提供坚强保证？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（1）持续整顿软弱涣散基层党组织，建设坚强战斗堡垒；</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（2）严格规范村“两委”换届选举，坚决把不符合村干部条件的人挡在门外；</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（3）充分发挥基层党组织政治功能，提高组织、宣传、凝聚、服务群众能力。</w:t>
      </w:r>
    </w:p>
    <w:p>
      <w:pPr>
        <w:widowControl w:val="0"/>
        <w:numPr>
          <w:ilvl w:val="0"/>
          <w:numId w:val="0"/>
        </w:numPr>
        <w:jc w:val="center"/>
        <w:rPr>
          <w:rFonts w:hint="eastAsia" w:ascii="黑体" w:eastAsia="黑体"/>
          <w:sz w:val="30"/>
          <w:szCs w:val="30"/>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r>
        <w:rPr>
          <w:rFonts w:hint="eastAsia" w:ascii="黑体" w:hAnsi="黑体" w:eastAsia="黑体"/>
          <w:sz w:val="44"/>
          <w:szCs w:val="44"/>
        </w:rPr>
        <w:t>二、图说扫黑</w:t>
      </w: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ind w:firstLine="600" w:firstLineChars="200"/>
        <w:rPr>
          <w:rFonts w:ascii="仿宋_GB2312" w:hAnsi="黑体"/>
          <w:sz w:val="30"/>
          <w:szCs w:val="30"/>
        </w:rPr>
      </w:pPr>
      <w:r>
        <w:rPr>
          <w:rFonts w:ascii="仿宋_GB2312" w:hAnsi="黑体"/>
          <w:sz w:val="30"/>
          <w:szCs w:val="30"/>
        </w:rPr>
        <w:t>什么是“黑”？什么是“恶”？以下漫画告诉您</w:t>
      </w:r>
      <w:r>
        <w:rPr>
          <w:rFonts w:hint="eastAsia" w:ascii="仿宋_GB2312" w:hAnsi="黑体"/>
          <w:sz w:val="30"/>
          <w:szCs w:val="30"/>
        </w:rPr>
        <w:t>：</w:t>
      </w:r>
    </w:p>
    <w:p>
      <w:pPr>
        <w:ind w:firstLine="600" w:firstLineChars="200"/>
        <w:rPr>
          <w:rFonts w:hint="eastAsia" w:ascii="黑体" w:hAnsi="黑体" w:eastAsia="黑体"/>
          <w:sz w:val="30"/>
          <w:szCs w:val="30"/>
        </w:rPr>
      </w:pPr>
      <w:r>
        <w:rPr>
          <w:rFonts w:hint="eastAsia" w:ascii="黑体" w:hAnsi="黑体" w:eastAsia="黑体"/>
          <w:sz w:val="30"/>
          <w:szCs w:val="30"/>
        </w:rPr>
        <w:t>1、威胁政治安全特别是制度安全、政权安全以及向政治领域渗透的黑恶势力。</w:t>
      </w:r>
    </w:p>
    <w:p>
      <w:pPr>
        <w:rPr>
          <w:rFonts w:hint="eastAsia" w:ascii="黑体" w:hAnsi="黑体" w:eastAsia="黑体"/>
        </w:rPr>
      </w:pPr>
      <w:r>
        <w:fldChar w:fldCharType="begin"/>
      </w:r>
      <w:r>
        <w:instrText xml:space="preserve"> INCLUDEPICTURE "https://mmbiz.qpic.cn/mmbiz_jpg/mqobR4q6CTGTwYSqxWKLDAEe2gLa7cof1CSOicRtzPdPJg5jcyVfV6gRhvv1DAicBy063HSqHx15HJXjryHm1j4w/640?wx_fmt=jpeg&amp;tp=webp&amp;wxfrom=5&amp;wx_lazy=1" \* MERGEFORMATINET </w:instrText>
      </w:r>
      <w:r>
        <w:fldChar w:fldCharType="separate"/>
      </w:r>
      <w:r>
        <mc:AlternateContent>
          <mc:Choice Requires="wps">
            <w:drawing>
              <wp:inline distT="0" distB="0" distL="114300" distR="114300">
                <wp:extent cx="304800" cy="304800"/>
                <wp:effectExtent l="0" t="0" r="0" b="0"/>
                <wp:docPr id="11"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Ezo4JoBAAAeAwAADgAAAGRycy9lMm9Eb2MueG1srVJLThwxEN0j&#10;5Q6W90z3DCEirelBURBsUEACDmDcdreF7bJcZnrmNEjZcYgcJ8o1KHuaSUh2ERvLrs+r9155ebpx&#10;lq1VRAO+5fNZzZnyEjrj+5bf3Z4fnnCGSfhOWPCq5VuF/HT14WA5hkYtYADbqcgIxGMzhpYPKYWm&#10;qlAOygmcQVCekhqiE4mesa+6KEZCd7Za1PWnaoTYhQhSIVL0bJfkq4KvtZLpSmtUidmWE7dUzljO&#10;+3xWq6Vo+ijCYOREQ/wHCyeMp6F7qDORBHuM5h8oZ2QEBJ1mElwFWhupigZSM6//UnMziKCKFjIH&#10;w94mfD9Y+W19HZnpaHdzzrxwtKNfT88/f3xnFCB3xoANFd2E65j1YbgE+YDMw9dB+F59wUAeU3eu&#10;rd4U5wdObRsdXW4nwWxT3N/u3VebxCQFj+qPJzXtSFJqumdM0bw2h4jpQoFj+dLySIOL52J9iWlX&#10;+lqSZ3k4N9ZSXDTWs7Hln48Xx6VhnyFw6yfeO6qZ9D10WzLlMUTTD2+00RIKo+nD5C3/+S5Iv7/1&#10;6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HzJZ00gAAAAMBAAAPAAAAAAAAAAEAIAAAACIAAABk&#10;cnMvZG93bnJldi54bWxQSwECFAAUAAAACACHTuJAnEzo4JoBAAAeAwAADgAAAAAAAAABACAAAAAh&#10;AQAAZHJzL2Uyb0RvYy54bWxQSwUGAAAAAAYABgBZAQAALQUAAAAA&#10;">
                <v:fill on="f" focussize="0,0"/>
                <v:stroke on="f"/>
                <v:imagedata o:title=""/>
                <o:lock v:ext="edit" aspectratio="t"/>
                <w10:wrap type="none"/>
                <w10:anchorlock/>
              </v:rect>
            </w:pict>
          </mc:Fallback>
        </mc:AlternateContent>
      </w:r>
      <w:r>
        <w:fldChar w:fldCharType="end"/>
      </w:r>
      <w:r>
        <w:fldChar w:fldCharType="begin"/>
      </w:r>
      <w:r>
        <w:instrText xml:space="preserve"> INCLUDEPICTURE "https://mmbiz.qpic.cn/mmbiz_jpg/mqobR4q6CTGTwYSqxWKLDAEe2gLa7cof1CSOicRtzPdPJg5jcyVfV6gRhvv1DAicBy063HSqHx15HJXjryHm1j4w/640?wx_fmt=jpeg&amp;tp=webp&amp;wxfrom=5&amp;wx_lazy=1" \* MERGEFORMATINET </w:instrText>
      </w:r>
      <w:r>
        <w:fldChar w:fldCharType="separate"/>
      </w:r>
      <w:r>
        <mc:AlternateContent>
          <mc:Choice Requires="wps">
            <w:drawing>
              <wp:inline distT="0" distB="0" distL="114300" distR="114300">
                <wp:extent cx="304800" cy="304800"/>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530CZkBAAAcAwAADgAAAGRycy9lMm9Eb2MueG1srVJBThwxELwj&#10;5Q+W7+wMS0DLaGdRFEQuKEECHmA89owV2225zc7uayLllkfwHMQ3aHuHJSS3KJeW291drqr28nzj&#10;LFuriAZ8y49mNWfKS+iM71t+d3t5uOAMk/CdsOBVy7cK+fnqw8FyDI2awwC2U5ERiMdmDC0fUgpN&#10;VaEclBM4g6A8FTVEJxKlsa+6KEZCd7aa1/VpNULsQgSpEOn2Ylfkq4KvtZLpm9aoErMtJ26pxFji&#10;fY7VaimaPoowGDnREP/Awgnj6dE91IVIgj1E8xeUMzICgk4zCa4CrY1URQOpOar/UHMziKCKFjIH&#10;w94m/H+w8uv6OjLTtZwW5YWjFT3/+PX0+JMtsjdjwIZabsJ1zOowXIH8jszD50H4Xn3CQA7T3nNv&#10;9a45JziNbXR0eZzksk3xfrv3Xm0Sk3R5XH9c1LQhSaXpnDFF8zocIqYvChzLh5ZHerg4LtZXmHat&#10;ry35LQ+Xxlq6F431bGz52cn8pAzsKwRu/cR7RzWTvoduS5Y8hGj64Z02WkFhNH2XvOPf84L09qlX&#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fMlnTSAAAAAwEAAA8AAAAAAAAAAQAgAAAAIgAAAGRy&#10;cy9kb3ducmV2LnhtbFBLAQIUABQAAAAIAIdO4kBfnfQJmQEAABwDAAAOAAAAAAAAAAEAIAAAACEB&#10;AABkcnMvZTJvRG9jLnhtbFBLBQYAAAAABgAGAFkBAAAsBQAAAAA=&#10;">
                <v:fill on="f" focussize="0,0"/>
                <v:stroke on="f"/>
                <v:imagedata o:title=""/>
                <o:lock v:ext="edit" aspectratio="t"/>
                <w10:wrap type="none"/>
                <w10:anchorlock/>
              </v:rect>
            </w:pict>
          </mc:Fallback>
        </mc:AlternateContent>
      </w:r>
      <w:r>
        <w:fldChar w:fldCharType="end"/>
      </w:r>
      <w:r>
        <w:drawing>
          <wp:inline distT="0" distB="0" distL="114300" distR="114300">
            <wp:extent cx="3688715" cy="2946400"/>
            <wp:effectExtent l="0" t="0" r="6985" b="6350"/>
            <wp:docPr id="10"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
                    <pic:cNvPicPr>
                      <a:picLocks noChangeAspect="1"/>
                    </pic:cNvPicPr>
                  </pic:nvPicPr>
                  <pic:blipFill>
                    <a:blip r:embed="rId5"/>
                    <a:stretch>
                      <a:fillRect/>
                    </a:stretch>
                  </pic:blipFill>
                  <pic:spPr>
                    <a:xfrm>
                      <a:off x="0" y="0"/>
                      <a:ext cx="3688715" cy="2946400"/>
                    </a:xfrm>
                    <a:prstGeom prst="rect">
                      <a:avLst/>
                    </a:prstGeom>
                    <a:noFill/>
                    <a:ln w="9525">
                      <a:noFill/>
                    </a:ln>
                  </pic:spPr>
                </pic:pic>
              </a:graphicData>
            </a:graphic>
          </wp:inline>
        </w:drawing>
      </w:r>
    </w:p>
    <w:p>
      <w:pPr>
        <w:ind w:firstLine="640" w:firstLineChars="200"/>
        <w:rPr>
          <w:rFonts w:ascii="黑体" w:hAnsi="黑体" w:eastAsia="黑体"/>
        </w:rPr>
      </w:pPr>
    </w:p>
    <w:p>
      <w:pPr>
        <w:ind w:firstLine="600" w:firstLineChars="200"/>
        <w:rPr>
          <w:rFonts w:ascii="黑体" w:hAnsi="黑体" w:eastAsia="黑体"/>
          <w:sz w:val="30"/>
          <w:szCs w:val="30"/>
        </w:rPr>
      </w:pPr>
    </w:p>
    <w:p>
      <w:pPr>
        <w:numPr>
          <w:ilvl w:val="0"/>
          <w:numId w:val="2"/>
        </w:numPr>
        <w:ind w:firstLine="600" w:firstLineChars="200"/>
        <w:rPr>
          <w:rFonts w:ascii="黑体" w:hAnsi="黑体" w:eastAsia="黑体"/>
          <w:sz w:val="30"/>
          <w:szCs w:val="30"/>
        </w:rPr>
      </w:pPr>
      <w:r>
        <w:rPr>
          <w:rFonts w:ascii="黑体" w:hAnsi="黑体" w:eastAsia="黑体"/>
          <w:sz w:val="30"/>
          <w:szCs w:val="30"/>
        </w:rPr>
        <w:t>把持基层政权、操纵破坏基层换届选举、垄断农村资源、侵吞集体资产的黑恶势力。</w:t>
      </w:r>
    </w:p>
    <w:p>
      <w:pPr>
        <w:widowControl w:val="0"/>
        <w:numPr>
          <w:ilvl w:val="0"/>
          <w:numId w:val="0"/>
        </w:numPr>
        <w:jc w:val="both"/>
        <w:rPr>
          <w:rFonts w:ascii="黑体" w:hAnsi="黑体" w:eastAsia="黑体"/>
          <w:sz w:val="30"/>
          <w:szCs w:val="30"/>
        </w:rPr>
      </w:pPr>
      <w:r>
        <w:rPr>
          <w:rFonts w:hint="eastAsia" w:ascii="黑体" w:hAnsi="黑体" w:eastAsia="黑体"/>
        </w:rPr>
        <w:drawing>
          <wp:anchor distT="0" distB="0" distL="114300" distR="114300" simplePos="0" relativeHeight="251658240" behindDoc="0" locked="0" layoutInCell="1" allowOverlap="1">
            <wp:simplePos x="0" y="0"/>
            <wp:positionH relativeFrom="column">
              <wp:posOffset>-31750</wp:posOffset>
            </wp:positionH>
            <wp:positionV relativeFrom="paragraph">
              <wp:posOffset>100965</wp:posOffset>
            </wp:positionV>
            <wp:extent cx="3733800" cy="3404870"/>
            <wp:effectExtent l="0" t="0" r="0" b="5080"/>
            <wp:wrapNone/>
            <wp:docPr id="9"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
                    <pic:cNvPicPr>
                      <a:picLocks noChangeAspect="1"/>
                    </pic:cNvPicPr>
                  </pic:nvPicPr>
                  <pic:blipFill>
                    <a:blip r:embed="rId6"/>
                    <a:stretch>
                      <a:fillRect/>
                    </a:stretch>
                  </pic:blipFill>
                  <pic:spPr>
                    <a:xfrm>
                      <a:off x="0" y="0"/>
                      <a:ext cx="3733800" cy="3404870"/>
                    </a:xfrm>
                    <a:prstGeom prst="rect">
                      <a:avLst/>
                    </a:prstGeom>
                    <a:noFill/>
                    <a:ln w="9525">
                      <a:noFill/>
                    </a:ln>
                  </pic:spPr>
                </pic:pic>
              </a:graphicData>
            </a:graphic>
          </wp:anchor>
        </w:drawing>
      </w: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widowControl w:val="0"/>
        <w:numPr>
          <w:ilvl w:val="0"/>
          <w:numId w:val="0"/>
        </w:numPr>
        <w:jc w:val="both"/>
        <w:rPr>
          <w:rFonts w:ascii="黑体" w:hAnsi="黑体" w:eastAsia="黑体"/>
          <w:sz w:val="30"/>
          <w:szCs w:val="30"/>
        </w:rPr>
      </w:pPr>
    </w:p>
    <w:p>
      <w:pPr>
        <w:ind w:firstLine="640" w:firstLineChars="200"/>
        <w:jc w:val="left"/>
        <w:rPr>
          <w:rFonts w:hint="eastAsia" w:ascii="黑体" w:hAnsi="黑体" w:eastAsia="黑体"/>
        </w:rPr>
      </w:pPr>
    </w:p>
    <w:p>
      <w:pPr>
        <w:ind w:firstLine="640" w:firstLineChars="200"/>
        <w:rPr>
          <w:rFonts w:ascii="黑体" w:hAnsi="黑体" w:eastAsia="黑体"/>
        </w:rPr>
      </w:pPr>
    </w:p>
    <w:p>
      <w:pPr>
        <w:ind w:firstLine="640" w:firstLineChars="200"/>
        <w:rPr>
          <w:rFonts w:ascii="黑体" w:hAnsi="黑体" w:eastAsia="黑体"/>
        </w:rPr>
      </w:pPr>
    </w:p>
    <w:p>
      <w:pPr>
        <w:numPr>
          <w:ilvl w:val="0"/>
          <w:numId w:val="2"/>
        </w:numPr>
        <w:ind w:left="0" w:leftChars="0" w:firstLine="600" w:firstLineChars="200"/>
        <w:rPr>
          <w:rFonts w:ascii="黑体" w:hAnsi="黑体" w:eastAsia="黑体"/>
          <w:sz w:val="30"/>
          <w:szCs w:val="30"/>
        </w:rPr>
      </w:pPr>
      <w:r>
        <w:rPr>
          <w:rFonts w:ascii="黑体" w:hAnsi="黑体" w:eastAsia="黑体"/>
          <w:sz w:val="30"/>
          <w:szCs w:val="30"/>
        </w:rPr>
        <w:t>利用家族、宗族势力横行乡里、称霸一方、欺压残害百姓的“村霸”等黑恶势力。</w:t>
      </w:r>
    </w:p>
    <w:p>
      <w:pPr>
        <w:numPr>
          <w:ilvl w:val="0"/>
          <w:numId w:val="0"/>
        </w:numPr>
        <w:rPr>
          <w:rFonts w:ascii="黑体" w:hAnsi="黑体" w:eastAsia="黑体"/>
          <w:sz w:val="30"/>
          <w:szCs w:val="30"/>
        </w:rPr>
      </w:pPr>
      <w:r>
        <w:rPr>
          <w:rFonts w:hint="eastAsia" w:ascii="黑体" w:hAnsi="黑体" w:eastAsia="黑体"/>
        </w:rPr>
        <w:drawing>
          <wp:anchor distT="0" distB="0" distL="114300" distR="114300" simplePos="0" relativeHeight="251659264" behindDoc="0" locked="0" layoutInCell="1" allowOverlap="1">
            <wp:simplePos x="0" y="0"/>
            <wp:positionH relativeFrom="column">
              <wp:posOffset>-98425</wp:posOffset>
            </wp:positionH>
            <wp:positionV relativeFrom="paragraph">
              <wp:posOffset>116205</wp:posOffset>
            </wp:positionV>
            <wp:extent cx="3672205" cy="3416935"/>
            <wp:effectExtent l="0" t="0" r="4445" b="12065"/>
            <wp:wrapNone/>
            <wp:docPr id="12"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3"/>
                    <pic:cNvPicPr>
                      <a:picLocks noChangeAspect="1"/>
                    </pic:cNvPicPr>
                  </pic:nvPicPr>
                  <pic:blipFill>
                    <a:blip r:embed="rId7"/>
                    <a:stretch>
                      <a:fillRect/>
                    </a:stretch>
                  </pic:blipFill>
                  <pic:spPr>
                    <a:xfrm>
                      <a:off x="0" y="0"/>
                      <a:ext cx="3672205" cy="3416935"/>
                    </a:xfrm>
                    <a:prstGeom prst="rect">
                      <a:avLst/>
                    </a:prstGeom>
                    <a:noFill/>
                    <a:ln w="9525">
                      <a:noFill/>
                    </a:ln>
                  </pic:spPr>
                </pic:pic>
              </a:graphicData>
            </a:graphic>
          </wp:anchor>
        </w:drawing>
      </w:r>
    </w:p>
    <w:p>
      <w:pPr>
        <w:numPr>
          <w:ilvl w:val="0"/>
          <w:numId w:val="0"/>
        </w:numPr>
        <w:rPr>
          <w:rFonts w:ascii="黑体" w:hAnsi="黑体" w:eastAsia="黑体"/>
          <w:sz w:val="30"/>
          <w:szCs w:val="30"/>
        </w:rPr>
      </w:pPr>
    </w:p>
    <w:p>
      <w:pPr>
        <w:numPr>
          <w:ilvl w:val="0"/>
          <w:numId w:val="0"/>
        </w:numPr>
        <w:rPr>
          <w:rFonts w:ascii="黑体" w:hAnsi="黑体" w:eastAsia="黑体"/>
          <w:sz w:val="30"/>
          <w:szCs w:val="30"/>
        </w:rPr>
      </w:pPr>
    </w:p>
    <w:p>
      <w:pPr>
        <w:numPr>
          <w:ilvl w:val="0"/>
          <w:numId w:val="0"/>
        </w:numPr>
        <w:rPr>
          <w:rFonts w:ascii="黑体" w:hAnsi="黑体" w:eastAsia="黑体"/>
          <w:sz w:val="30"/>
          <w:szCs w:val="30"/>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numPr>
          <w:ilvl w:val="0"/>
          <w:numId w:val="2"/>
        </w:numPr>
        <w:ind w:left="0" w:leftChars="0" w:firstLine="600" w:firstLineChars="200"/>
        <w:rPr>
          <w:rFonts w:hint="eastAsia" w:ascii="黑体" w:hAnsi="黑体" w:eastAsia="黑体"/>
          <w:sz w:val="30"/>
          <w:szCs w:val="30"/>
        </w:rPr>
      </w:pPr>
      <w:r>
        <w:rPr>
          <w:rFonts w:hint="eastAsia" w:ascii="黑体" w:hAnsi="黑体" w:eastAsia="黑体"/>
          <w:sz w:val="30"/>
          <w:szCs w:val="30"/>
        </w:rPr>
        <w:t>在征地、租地、拆迁、工程项目建设等过程中煽动闹事的黑恶势力。</w:t>
      </w:r>
    </w:p>
    <w:p>
      <w:pPr>
        <w:widowControl w:val="0"/>
        <w:numPr>
          <w:ilvl w:val="0"/>
          <w:numId w:val="0"/>
        </w:numPr>
        <w:jc w:val="both"/>
        <w:rPr>
          <w:rFonts w:hint="eastAsia" w:ascii="黑体" w:hAnsi="黑体" w:eastAsia="黑体"/>
          <w:sz w:val="30"/>
          <w:szCs w:val="30"/>
        </w:rPr>
      </w:pPr>
    </w:p>
    <w:p>
      <w:pPr>
        <w:ind w:firstLine="640" w:firstLineChars="200"/>
        <w:rPr>
          <w:rFonts w:hint="eastAsia" w:ascii="黑体" w:hAnsi="黑体" w:eastAsia="黑体"/>
        </w:rPr>
      </w:pPr>
      <w:r>
        <w:rPr>
          <w:rFonts w:hint="eastAsia" w:ascii="黑体" w:hAnsi="黑体" w:eastAsia="黑体"/>
        </w:rPr>
        <w:drawing>
          <wp:anchor distT="0" distB="0" distL="114300" distR="114300" simplePos="0" relativeHeight="251660288" behindDoc="0" locked="0" layoutInCell="1" allowOverlap="1">
            <wp:simplePos x="0" y="0"/>
            <wp:positionH relativeFrom="column">
              <wp:posOffset>-69850</wp:posOffset>
            </wp:positionH>
            <wp:positionV relativeFrom="paragraph">
              <wp:posOffset>137160</wp:posOffset>
            </wp:positionV>
            <wp:extent cx="3780155" cy="3953510"/>
            <wp:effectExtent l="0" t="0" r="10795" b="8890"/>
            <wp:wrapTopAndBottom/>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3780155" cy="3953510"/>
                    </a:xfrm>
                    <a:prstGeom prst="rect">
                      <a:avLst/>
                    </a:prstGeom>
                    <a:noFill/>
                    <a:ln w="9525">
                      <a:noFill/>
                    </a:ln>
                  </pic:spPr>
                </pic:pic>
              </a:graphicData>
            </a:graphic>
          </wp:anchor>
        </w:drawing>
      </w:r>
    </w:p>
    <w:p>
      <w:pPr>
        <w:ind w:firstLine="600" w:firstLineChars="200"/>
        <w:rPr>
          <w:rFonts w:hint="eastAsia" w:ascii="黑体" w:hAnsi="黑体" w:eastAsia="黑体"/>
          <w:sz w:val="30"/>
          <w:szCs w:val="30"/>
        </w:rPr>
      </w:pPr>
      <w:r>
        <w:rPr>
          <w:rFonts w:hint="eastAsia" w:ascii="黑体" w:hAnsi="黑体" w:eastAsia="黑体"/>
          <w:sz w:val="30"/>
          <w:szCs w:val="30"/>
        </w:rPr>
        <w:t>5、在建筑工程、交通运输、矿产资源、渔业捕捞等行业、领域，强揽工程、恶意竞标、非法占地、滥开滥采的黑恶势力。</w:t>
      </w:r>
    </w:p>
    <w:p>
      <w:pPr>
        <w:ind w:firstLine="640" w:firstLineChars="200"/>
        <w:rPr>
          <w:rFonts w:hint="eastAsia" w:ascii="黑体" w:hAnsi="黑体" w:eastAsia="黑体"/>
        </w:rPr>
      </w:pPr>
      <w:r>
        <w:rPr>
          <w:rFonts w:hint="eastAsia" w:ascii="黑体" w:hAnsi="黑体" w:eastAsia="黑体"/>
        </w:rPr>
        <w:drawing>
          <wp:anchor distT="0" distB="0" distL="114300" distR="114300" simplePos="0" relativeHeight="251661312" behindDoc="0" locked="0" layoutInCell="1" allowOverlap="1">
            <wp:simplePos x="0" y="0"/>
            <wp:positionH relativeFrom="column">
              <wp:posOffset>6350</wp:posOffset>
            </wp:positionH>
            <wp:positionV relativeFrom="paragraph">
              <wp:posOffset>160020</wp:posOffset>
            </wp:positionV>
            <wp:extent cx="3707765" cy="3237865"/>
            <wp:effectExtent l="0" t="0" r="6985" b="635"/>
            <wp:wrapTopAndBottom/>
            <wp:docPr id="5"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5"/>
                    <pic:cNvPicPr>
                      <a:picLocks noChangeAspect="1"/>
                    </pic:cNvPicPr>
                  </pic:nvPicPr>
                  <pic:blipFill>
                    <a:blip r:embed="rId9"/>
                    <a:stretch>
                      <a:fillRect/>
                    </a:stretch>
                  </pic:blipFill>
                  <pic:spPr>
                    <a:xfrm>
                      <a:off x="0" y="0"/>
                      <a:ext cx="3707765" cy="3237865"/>
                    </a:xfrm>
                    <a:prstGeom prst="rect">
                      <a:avLst/>
                    </a:prstGeom>
                    <a:noFill/>
                    <a:ln w="9525">
                      <a:noFill/>
                    </a:ln>
                  </pic:spPr>
                </pic:pic>
              </a:graphicData>
            </a:graphic>
          </wp:anchor>
        </w:drawing>
      </w:r>
    </w:p>
    <w:p>
      <w:pPr>
        <w:ind w:firstLine="640" w:firstLineChars="200"/>
        <w:rPr>
          <w:rFonts w:hint="eastAsia" w:ascii="仿宋_GB2312" w:hAnsi="黑体"/>
        </w:rPr>
      </w:pPr>
    </w:p>
    <w:p>
      <w:pPr>
        <w:ind w:firstLine="640" w:firstLineChars="200"/>
        <w:jc w:val="center"/>
        <w:rPr>
          <w:rFonts w:hint="eastAsia" w:ascii="黑体" w:hAnsi="黑体" w:eastAsia="黑体"/>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outlineLvl w:val="9"/>
        <w:rPr>
          <w:rFonts w:hint="eastAsia" w:ascii="黑体" w:hAnsi="黑体" w:eastAsia="黑体"/>
        </w:rPr>
      </w:pPr>
      <w:r>
        <w:rPr>
          <w:rFonts w:hint="eastAsia" w:ascii="黑体" w:hAnsi="黑体" w:eastAsia="黑体"/>
          <w:sz w:val="30"/>
          <w:szCs w:val="30"/>
        </w:rPr>
        <w:t>6、在商贸集市、批发市场、车站码头、旅游景区等场所欺行霸市、强买强卖、收保护费的市霸、行霸等黑恶势力。</w:t>
      </w:r>
      <w:r>
        <w:rPr>
          <w:rFonts w:hint="eastAsia" w:ascii="黑体" w:hAnsi="黑体" w:eastAsia="黑体"/>
        </w:rPr>
        <w:drawing>
          <wp:inline distT="0" distB="0" distL="114300" distR="114300">
            <wp:extent cx="3665855" cy="3342005"/>
            <wp:effectExtent l="0" t="0" r="10795" b="10795"/>
            <wp:docPr id="4"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6"/>
                    <pic:cNvPicPr>
                      <a:picLocks noChangeAspect="1"/>
                    </pic:cNvPicPr>
                  </pic:nvPicPr>
                  <pic:blipFill>
                    <a:blip r:embed="rId10"/>
                    <a:stretch>
                      <a:fillRect/>
                    </a:stretch>
                  </pic:blipFill>
                  <pic:spPr>
                    <a:xfrm>
                      <a:off x="0" y="0"/>
                      <a:ext cx="3665855" cy="3342005"/>
                    </a:xfrm>
                    <a:prstGeom prst="rect">
                      <a:avLst/>
                    </a:prstGeom>
                    <a:noFill/>
                    <a:ln w="9525">
                      <a:noFill/>
                    </a:ln>
                  </pic:spPr>
                </pic:pic>
              </a:graphicData>
            </a:graphic>
          </wp:inline>
        </w:drawing>
      </w: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numPr>
          <w:ilvl w:val="0"/>
          <w:numId w:val="3"/>
        </w:numPr>
        <w:ind w:firstLine="600" w:firstLineChars="200"/>
        <w:rPr>
          <w:rFonts w:hint="eastAsia" w:ascii="黑体" w:hAnsi="黑体" w:eastAsia="黑体"/>
          <w:sz w:val="30"/>
          <w:szCs w:val="30"/>
        </w:rPr>
      </w:pPr>
      <w:r>
        <w:rPr>
          <w:rFonts w:hint="eastAsia" w:ascii="黑体" w:hAnsi="黑体" w:eastAsia="黑体"/>
          <w:sz w:val="30"/>
          <w:szCs w:val="30"/>
        </w:rPr>
        <w:t>操纵、经营“黄赌毒”等违法犯罪活动的黑恶势力。</w:t>
      </w:r>
    </w:p>
    <w:p>
      <w:pPr>
        <w:numPr>
          <w:ilvl w:val="0"/>
          <w:numId w:val="0"/>
        </w:numPr>
        <w:rPr>
          <w:rFonts w:hint="eastAsia" w:ascii="黑体" w:hAnsi="黑体" w:eastAsia="黑体"/>
          <w:sz w:val="30"/>
          <w:szCs w:val="30"/>
        </w:rPr>
      </w:pPr>
      <w:r>
        <w:rPr>
          <w:rFonts w:hint="eastAsia" w:ascii="黑体" w:hAnsi="黑体" w:eastAsia="黑体"/>
        </w:rPr>
        <w:drawing>
          <wp:anchor distT="0" distB="0" distL="114300" distR="114300" simplePos="0" relativeHeight="251662336" behindDoc="0" locked="0" layoutInCell="1" allowOverlap="1">
            <wp:simplePos x="0" y="0"/>
            <wp:positionH relativeFrom="column">
              <wp:posOffset>-31750</wp:posOffset>
            </wp:positionH>
            <wp:positionV relativeFrom="paragraph">
              <wp:posOffset>135255</wp:posOffset>
            </wp:positionV>
            <wp:extent cx="3743960" cy="3559175"/>
            <wp:effectExtent l="0" t="0" r="8890" b="3175"/>
            <wp:wrapNone/>
            <wp:docPr id="1"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7"/>
                    <pic:cNvPicPr>
                      <a:picLocks noChangeAspect="1"/>
                    </pic:cNvPicPr>
                  </pic:nvPicPr>
                  <pic:blipFill>
                    <a:blip r:embed="rId11"/>
                    <a:stretch>
                      <a:fillRect/>
                    </a:stretch>
                  </pic:blipFill>
                  <pic:spPr>
                    <a:xfrm>
                      <a:off x="0" y="0"/>
                      <a:ext cx="3743960" cy="3559175"/>
                    </a:xfrm>
                    <a:prstGeom prst="rect">
                      <a:avLst/>
                    </a:prstGeom>
                    <a:noFill/>
                    <a:ln w="9525">
                      <a:noFill/>
                    </a:ln>
                  </pic:spPr>
                </pic:pic>
              </a:graphicData>
            </a:graphic>
          </wp:anchor>
        </w:drawing>
      </w:r>
    </w:p>
    <w:p>
      <w:pPr>
        <w:numPr>
          <w:ilvl w:val="0"/>
          <w:numId w:val="0"/>
        </w:numPr>
        <w:rPr>
          <w:rFonts w:hint="eastAsia" w:ascii="黑体" w:hAnsi="黑体" w:eastAsia="黑体"/>
          <w:sz w:val="30"/>
          <w:szCs w:val="30"/>
        </w:rPr>
      </w:pPr>
    </w:p>
    <w:p>
      <w:pPr>
        <w:numPr>
          <w:ilvl w:val="0"/>
          <w:numId w:val="0"/>
        </w:numPr>
        <w:rPr>
          <w:rFonts w:hint="eastAsia" w:ascii="黑体" w:hAnsi="黑体" w:eastAsia="黑体"/>
          <w:sz w:val="30"/>
          <w:szCs w:val="30"/>
        </w:rPr>
      </w:pPr>
    </w:p>
    <w:p>
      <w:pPr>
        <w:numPr>
          <w:ilvl w:val="0"/>
          <w:numId w:val="0"/>
        </w:numPr>
        <w:rPr>
          <w:rFonts w:hint="eastAsia" w:ascii="黑体" w:hAnsi="黑体" w:eastAsia="黑体"/>
          <w:sz w:val="30"/>
          <w:szCs w:val="30"/>
        </w:rPr>
      </w:pPr>
    </w:p>
    <w:p>
      <w:pPr>
        <w:numPr>
          <w:ilvl w:val="0"/>
          <w:numId w:val="0"/>
        </w:numPr>
        <w:rPr>
          <w:rFonts w:hint="eastAsia" w:ascii="黑体" w:hAnsi="黑体" w:eastAsia="黑体"/>
          <w:sz w:val="30"/>
          <w:szCs w:val="30"/>
        </w:rPr>
      </w:pPr>
    </w:p>
    <w:p>
      <w:pPr>
        <w:numPr>
          <w:ilvl w:val="0"/>
          <w:numId w:val="0"/>
        </w:numPr>
        <w:rPr>
          <w:rFonts w:hint="eastAsia" w:ascii="黑体" w:hAnsi="黑体" w:eastAsia="黑体"/>
          <w:sz w:val="30"/>
          <w:szCs w:val="30"/>
        </w:rPr>
      </w:pPr>
    </w:p>
    <w:p>
      <w:pPr>
        <w:numPr>
          <w:ilvl w:val="0"/>
          <w:numId w:val="0"/>
        </w:numPr>
        <w:rPr>
          <w:rFonts w:hint="eastAsia" w:ascii="黑体" w:hAnsi="黑体" w:eastAsia="黑体"/>
          <w:sz w:val="30"/>
          <w:szCs w:val="30"/>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numPr>
          <w:ilvl w:val="0"/>
          <w:numId w:val="3"/>
        </w:numPr>
        <w:ind w:left="0" w:leftChars="0" w:firstLine="600" w:firstLineChars="200"/>
        <w:rPr>
          <w:rFonts w:hint="eastAsia" w:ascii="黑体" w:hAnsi="黑体" w:eastAsia="黑体"/>
          <w:sz w:val="30"/>
          <w:szCs w:val="30"/>
        </w:rPr>
      </w:pPr>
      <w:r>
        <w:rPr>
          <w:rFonts w:hint="eastAsia" w:ascii="黑体" w:hAnsi="黑体" w:eastAsia="黑体"/>
          <w:sz w:val="30"/>
          <w:szCs w:val="30"/>
        </w:rPr>
        <w:t>非法高利放贷、暴力讨债的黑恶势力。</w:t>
      </w:r>
    </w:p>
    <w:p>
      <w:pPr>
        <w:widowControl w:val="0"/>
        <w:numPr>
          <w:ilvl w:val="0"/>
          <w:numId w:val="0"/>
        </w:numPr>
        <w:jc w:val="both"/>
        <w:rPr>
          <w:rFonts w:hint="eastAsia" w:ascii="黑体" w:hAnsi="黑体" w:eastAsia="黑体"/>
          <w:sz w:val="30"/>
          <w:szCs w:val="30"/>
        </w:rPr>
      </w:pPr>
      <w:r>
        <w:rPr>
          <w:rFonts w:hint="eastAsia" w:ascii="黑体" w:hAnsi="黑体" w:eastAsia="黑体"/>
        </w:rPr>
        <w:drawing>
          <wp:anchor distT="0" distB="0" distL="114300" distR="114300" simplePos="0" relativeHeight="251663360" behindDoc="0" locked="0" layoutInCell="1" allowOverlap="1">
            <wp:simplePos x="0" y="0"/>
            <wp:positionH relativeFrom="column">
              <wp:posOffset>-69850</wp:posOffset>
            </wp:positionH>
            <wp:positionV relativeFrom="paragraph">
              <wp:posOffset>28575</wp:posOffset>
            </wp:positionV>
            <wp:extent cx="3743960" cy="3439795"/>
            <wp:effectExtent l="0" t="0" r="8890" b="8255"/>
            <wp:wrapNone/>
            <wp:docPr id="3"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8"/>
                    <pic:cNvPicPr>
                      <a:picLocks noChangeAspect="1"/>
                    </pic:cNvPicPr>
                  </pic:nvPicPr>
                  <pic:blipFill>
                    <a:blip r:embed="rId12"/>
                    <a:stretch>
                      <a:fillRect/>
                    </a:stretch>
                  </pic:blipFill>
                  <pic:spPr>
                    <a:xfrm>
                      <a:off x="0" y="0"/>
                      <a:ext cx="3743960" cy="3439795"/>
                    </a:xfrm>
                    <a:prstGeom prst="rect">
                      <a:avLst/>
                    </a:prstGeom>
                    <a:noFill/>
                    <a:ln w="9525">
                      <a:noFill/>
                    </a:ln>
                  </pic:spPr>
                </pic:pic>
              </a:graphicData>
            </a:graphic>
          </wp:anchor>
        </w:drawing>
      </w:r>
    </w:p>
    <w:p>
      <w:pPr>
        <w:widowControl w:val="0"/>
        <w:numPr>
          <w:ilvl w:val="0"/>
          <w:numId w:val="0"/>
        </w:numPr>
        <w:jc w:val="both"/>
        <w:rPr>
          <w:rFonts w:hint="eastAsia" w:ascii="黑体" w:hAnsi="黑体" w:eastAsia="黑体"/>
          <w:sz w:val="30"/>
          <w:szCs w:val="30"/>
        </w:rPr>
      </w:pPr>
    </w:p>
    <w:p>
      <w:pPr>
        <w:widowControl w:val="0"/>
        <w:numPr>
          <w:ilvl w:val="0"/>
          <w:numId w:val="0"/>
        </w:numPr>
        <w:jc w:val="both"/>
        <w:rPr>
          <w:rFonts w:hint="eastAsia" w:ascii="黑体" w:hAnsi="黑体" w:eastAsia="黑体"/>
          <w:sz w:val="30"/>
          <w:szCs w:val="30"/>
        </w:rPr>
      </w:pPr>
    </w:p>
    <w:p>
      <w:pPr>
        <w:widowControl w:val="0"/>
        <w:numPr>
          <w:ilvl w:val="0"/>
          <w:numId w:val="0"/>
        </w:numPr>
        <w:jc w:val="both"/>
        <w:rPr>
          <w:rFonts w:hint="eastAsia" w:ascii="黑体" w:hAnsi="黑体" w:eastAsia="黑体"/>
          <w:sz w:val="30"/>
          <w:szCs w:val="30"/>
        </w:rPr>
      </w:pPr>
    </w:p>
    <w:p>
      <w:pPr>
        <w:widowControl w:val="0"/>
        <w:numPr>
          <w:ilvl w:val="0"/>
          <w:numId w:val="0"/>
        </w:numPr>
        <w:jc w:val="both"/>
        <w:rPr>
          <w:rFonts w:hint="eastAsia" w:ascii="黑体" w:hAnsi="黑体" w:eastAsia="黑体"/>
          <w:sz w:val="30"/>
          <w:szCs w:val="30"/>
        </w:rPr>
      </w:pPr>
    </w:p>
    <w:p>
      <w:pPr>
        <w:widowControl w:val="0"/>
        <w:numPr>
          <w:ilvl w:val="0"/>
          <w:numId w:val="0"/>
        </w:numPr>
        <w:jc w:val="both"/>
        <w:rPr>
          <w:rFonts w:hint="eastAsia" w:ascii="黑体" w:hAnsi="黑体" w:eastAsia="黑体"/>
          <w:sz w:val="30"/>
          <w:szCs w:val="30"/>
        </w:rPr>
      </w:pPr>
    </w:p>
    <w:p>
      <w:pPr>
        <w:ind w:firstLine="640" w:firstLineChars="200"/>
        <w:jc w:val="left"/>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numPr>
          <w:ilvl w:val="0"/>
          <w:numId w:val="3"/>
        </w:numPr>
        <w:ind w:left="0" w:leftChars="0" w:firstLine="640" w:firstLineChars="200"/>
        <w:rPr>
          <w:rFonts w:hint="eastAsia" w:ascii="黑体" w:hAnsi="黑体" w:eastAsia="黑体"/>
          <w:sz w:val="30"/>
          <w:szCs w:val="30"/>
        </w:rPr>
      </w:pPr>
      <w:r>
        <w:rPr>
          <w:rFonts w:hint="eastAsia" w:ascii="黑体" w:hAnsi="黑体" w:eastAsia="黑体"/>
        </w:rPr>
        <w:drawing>
          <wp:anchor distT="0" distB="0" distL="114300" distR="114300" simplePos="0" relativeHeight="251664384" behindDoc="0" locked="0" layoutInCell="1" allowOverlap="1">
            <wp:simplePos x="0" y="0"/>
            <wp:positionH relativeFrom="column">
              <wp:posOffset>-12700</wp:posOffset>
            </wp:positionH>
            <wp:positionV relativeFrom="paragraph">
              <wp:posOffset>701040</wp:posOffset>
            </wp:positionV>
            <wp:extent cx="3677920" cy="3388360"/>
            <wp:effectExtent l="0" t="0" r="17780" b="2540"/>
            <wp:wrapNone/>
            <wp:docPr id="2"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9"/>
                    <pic:cNvPicPr>
                      <a:picLocks noChangeAspect="1"/>
                    </pic:cNvPicPr>
                  </pic:nvPicPr>
                  <pic:blipFill>
                    <a:blip r:embed="rId13"/>
                    <a:stretch>
                      <a:fillRect/>
                    </a:stretch>
                  </pic:blipFill>
                  <pic:spPr>
                    <a:xfrm>
                      <a:off x="0" y="0"/>
                      <a:ext cx="3677920" cy="3388360"/>
                    </a:xfrm>
                    <a:prstGeom prst="rect">
                      <a:avLst/>
                    </a:prstGeom>
                    <a:noFill/>
                    <a:ln w="9525">
                      <a:noFill/>
                    </a:ln>
                  </pic:spPr>
                </pic:pic>
              </a:graphicData>
            </a:graphic>
          </wp:anchor>
        </w:drawing>
      </w:r>
      <w:r>
        <w:rPr>
          <w:rFonts w:hint="eastAsia" w:ascii="黑体" w:hAnsi="黑体" w:eastAsia="黑体"/>
          <w:sz w:val="30"/>
          <w:szCs w:val="30"/>
        </w:rPr>
        <w:t>插手民间纠纷、充当“地下执法队的黑恶势力”。</w:t>
      </w:r>
    </w:p>
    <w:p>
      <w:pPr>
        <w:ind w:firstLine="640" w:firstLineChars="200"/>
        <w:rPr>
          <w:rFonts w:hint="eastAsia" w:ascii="黑体" w:hAnsi="黑体" w:eastAsia="黑体"/>
        </w:rPr>
      </w:pPr>
    </w:p>
    <w:p>
      <w:pPr>
        <w:ind w:firstLine="640" w:firstLineChars="200"/>
        <w:rPr>
          <w:rFonts w:hint="eastAsia" w:ascii="黑体" w:hAnsi="黑体" w:eastAsia="黑体"/>
        </w:rPr>
      </w:pPr>
    </w:p>
    <w:p>
      <w:pPr>
        <w:ind w:firstLine="640" w:firstLineChars="200"/>
        <w:rPr>
          <w:rFonts w:hint="eastAsia" w:ascii="仿宋_GB2312" w:hAnsi="黑体"/>
        </w:rPr>
      </w:pPr>
    </w:p>
    <w:p>
      <w:pPr>
        <w:ind w:firstLine="640" w:firstLineChars="200"/>
        <w:rPr>
          <w:rFonts w:hint="eastAsia" w:ascii="黑体" w:hAnsi="黑体" w:eastAsia="黑体"/>
        </w:rPr>
      </w:pPr>
    </w:p>
    <w:p>
      <w:pPr>
        <w:ind w:firstLine="640" w:firstLineChars="200"/>
        <w:rPr>
          <w:rFonts w:hint="eastAsia" w:ascii="黑体" w:hAnsi="黑体" w:eastAsia="黑体"/>
        </w:rPr>
      </w:pPr>
    </w:p>
    <w:p>
      <w:pPr>
        <w:numPr>
          <w:ilvl w:val="0"/>
          <w:numId w:val="3"/>
        </w:numPr>
        <w:ind w:left="0" w:leftChars="0" w:firstLine="640" w:firstLineChars="200"/>
        <w:rPr>
          <w:rFonts w:hint="eastAsia" w:ascii="黑体" w:hAnsi="黑体" w:eastAsia="黑体"/>
          <w:sz w:val="30"/>
          <w:szCs w:val="30"/>
        </w:rPr>
      </w:pPr>
      <w:r>
        <w:rPr>
          <w:rFonts w:hint="eastAsia" w:ascii="黑体" w:hAnsi="黑体" w:eastAsia="黑体"/>
        </w:rPr>
        <w:drawing>
          <wp:anchor distT="0" distB="0" distL="114300" distR="114300" simplePos="0" relativeHeight="251665408" behindDoc="0" locked="0" layoutInCell="1" allowOverlap="1">
            <wp:simplePos x="0" y="0"/>
            <wp:positionH relativeFrom="column">
              <wp:posOffset>-69850</wp:posOffset>
            </wp:positionH>
            <wp:positionV relativeFrom="paragraph">
              <wp:posOffset>664845</wp:posOffset>
            </wp:positionV>
            <wp:extent cx="3636010" cy="3959225"/>
            <wp:effectExtent l="0" t="0" r="2540" b="3175"/>
            <wp:wrapNone/>
            <wp:docPr id="7"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10"/>
                    <pic:cNvPicPr>
                      <a:picLocks noChangeAspect="1"/>
                    </pic:cNvPicPr>
                  </pic:nvPicPr>
                  <pic:blipFill>
                    <a:blip r:embed="rId14"/>
                    <a:stretch>
                      <a:fillRect/>
                    </a:stretch>
                  </pic:blipFill>
                  <pic:spPr>
                    <a:xfrm>
                      <a:off x="0" y="0"/>
                      <a:ext cx="3636010" cy="3959225"/>
                    </a:xfrm>
                    <a:prstGeom prst="rect">
                      <a:avLst/>
                    </a:prstGeom>
                    <a:noFill/>
                    <a:ln w="9525">
                      <a:noFill/>
                    </a:ln>
                  </pic:spPr>
                </pic:pic>
              </a:graphicData>
            </a:graphic>
          </wp:anchor>
        </w:drawing>
      </w:r>
      <w:r>
        <w:rPr>
          <w:rFonts w:hint="eastAsia" w:ascii="黑体" w:hAnsi="黑体" w:eastAsia="黑体"/>
          <w:sz w:val="30"/>
          <w:szCs w:val="30"/>
        </w:rPr>
        <w:t>境外黑社会入境发展渗透以及跨国跨境的黑恶势力。</w:t>
      </w:r>
    </w:p>
    <w:p>
      <w:pPr>
        <w:widowControl w:val="0"/>
        <w:numPr>
          <w:ilvl w:val="0"/>
          <w:numId w:val="0"/>
        </w:numPr>
        <w:jc w:val="both"/>
        <w:rPr>
          <w:rFonts w:hint="eastAsia" w:ascii="黑体" w:hAnsi="黑体" w:eastAsia="黑体"/>
          <w:sz w:val="30"/>
          <w:szCs w:val="30"/>
        </w:rPr>
      </w:pPr>
    </w:p>
    <w:p>
      <w:pPr>
        <w:ind w:firstLine="640" w:firstLineChars="200"/>
        <w:rPr>
          <w:rFonts w:hint="eastAsia" w:ascii="黑体" w:hAnsi="黑体" w:eastAsia="黑体"/>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方正小标宋简体" w:eastAsia="方正小标宋简体"/>
          <w:sz w:val="32"/>
          <w:szCs w:val="32"/>
        </w:rPr>
      </w:pPr>
    </w:p>
    <w:p>
      <w:pPr>
        <w:jc w:val="both"/>
        <w:rPr>
          <w:rFonts w:hint="eastAsia" w:ascii="黑体" w:hAnsi="黑体" w:eastAsia="黑体"/>
          <w:sz w:val="44"/>
          <w:szCs w:val="44"/>
        </w:rPr>
      </w:pPr>
    </w:p>
    <w:p>
      <w:pPr>
        <w:jc w:val="both"/>
        <w:rPr>
          <w:rFonts w:hint="eastAsia" w:ascii="黑体" w:hAnsi="黑体" w:eastAsia="黑体"/>
          <w:sz w:val="44"/>
          <w:szCs w:val="44"/>
        </w:rPr>
      </w:pPr>
    </w:p>
    <w:p>
      <w:pPr>
        <w:numPr>
          <w:ilvl w:val="0"/>
          <w:numId w:val="0"/>
        </w:numPr>
        <w:ind w:leftChars="0"/>
        <w:jc w:val="both"/>
        <w:rPr>
          <w:rFonts w:hint="eastAsia" w:ascii="黑体" w:hAnsi="黑体" w:eastAsia="黑体"/>
          <w:sz w:val="44"/>
          <w:szCs w:val="44"/>
        </w:rPr>
      </w:pPr>
    </w:p>
    <w:p>
      <w:pPr>
        <w:numPr>
          <w:ilvl w:val="0"/>
          <w:numId w:val="0"/>
        </w:numPr>
        <w:ind w:leftChars="0"/>
        <w:jc w:val="both"/>
        <w:rPr>
          <w:rFonts w:hint="eastAsia" w:ascii="黑体" w:hAnsi="黑体" w:eastAsia="黑体"/>
          <w:sz w:val="44"/>
          <w:szCs w:val="44"/>
        </w:rPr>
      </w:pPr>
    </w:p>
    <w:p>
      <w:pPr>
        <w:numPr>
          <w:ilvl w:val="0"/>
          <w:numId w:val="0"/>
        </w:numPr>
        <w:ind w:leftChars="0"/>
        <w:jc w:val="center"/>
        <w:rPr>
          <w:rFonts w:hint="eastAsia" w:ascii="黑体" w:hAnsi="黑体" w:eastAsia="黑体"/>
          <w:sz w:val="44"/>
          <w:szCs w:val="44"/>
        </w:rPr>
      </w:pPr>
      <w:r>
        <w:rPr>
          <w:rFonts w:hint="eastAsia" w:ascii="黑体" w:hAnsi="黑体" w:eastAsia="黑体"/>
          <w:sz w:val="44"/>
          <w:szCs w:val="44"/>
          <w:lang w:eastAsia="zh-CN"/>
        </w:rPr>
        <w:t>三、</w:t>
      </w:r>
      <w:r>
        <w:rPr>
          <w:rFonts w:hint="eastAsia" w:ascii="黑体" w:hAnsi="黑体" w:eastAsia="黑体"/>
          <w:sz w:val="44"/>
          <w:szCs w:val="44"/>
        </w:rPr>
        <w:t>举报方式</w:t>
      </w:r>
    </w:p>
    <w:p>
      <w:pPr>
        <w:widowControl w:val="0"/>
        <w:numPr>
          <w:ilvl w:val="0"/>
          <w:numId w:val="0"/>
        </w:numPr>
        <w:jc w:val="center"/>
        <w:rPr>
          <w:rFonts w:hint="eastAsia" w:ascii="黑体" w:hAnsi="黑体" w:eastAsia="黑体"/>
          <w:sz w:val="44"/>
          <w:szCs w:val="44"/>
        </w:rPr>
      </w:pPr>
    </w:p>
    <w:p>
      <w:pPr>
        <w:widowControl w:val="0"/>
        <w:numPr>
          <w:ilvl w:val="0"/>
          <w:numId w:val="0"/>
        </w:numPr>
        <w:jc w:val="center"/>
        <w:rPr>
          <w:rFonts w:hint="eastAsia" w:ascii="黑体" w:hAnsi="黑体" w:eastAsia="黑体"/>
          <w:sz w:val="44"/>
          <w:szCs w:val="44"/>
        </w:rPr>
      </w:pPr>
    </w:p>
    <w:p>
      <w:pPr>
        <w:widowControl w:val="0"/>
        <w:numPr>
          <w:ilvl w:val="0"/>
          <w:numId w:val="0"/>
        </w:numPr>
        <w:jc w:val="center"/>
        <w:rPr>
          <w:rFonts w:hint="eastAsia" w:ascii="黑体" w:hAnsi="黑体" w:eastAsia="黑体"/>
          <w:sz w:val="44"/>
          <w:szCs w:val="44"/>
        </w:rPr>
      </w:pPr>
    </w:p>
    <w:p>
      <w:pPr>
        <w:widowControl w:val="0"/>
        <w:numPr>
          <w:ilvl w:val="0"/>
          <w:numId w:val="0"/>
        </w:numPr>
        <w:jc w:val="center"/>
        <w:rPr>
          <w:rFonts w:hint="eastAsia" w:ascii="黑体" w:hAnsi="黑体" w:eastAsia="黑体"/>
          <w:sz w:val="44"/>
          <w:szCs w:val="44"/>
        </w:rPr>
      </w:pPr>
    </w:p>
    <w:p>
      <w:pPr>
        <w:widowControl w:val="0"/>
        <w:numPr>
          <w:ilvl w:val="0"/>
          <w:numId w:val="0"/>
        </w:numPr>
        <w:jc w:val="center"/>
        <w:rPr>
          <w:rFonts w:hint="eastAsia" w:ascii="黑体" w:hAnsi="黑体" w:eastAsia="黑体"/>
          <w:sz w:val="44"/>
          <w:szCs w:val="44"/>
        </w:rPr>
      </w:pPr>
    </w:p>
    <w:p>
      <w:pPr>
        <w:widowControl w:val="0"/>
        <w:numPr>
          <w:ilvl w:val="0"/>
          <w:numId w:val="0"/>
        </w:numPr>
        <w:jc w:val="both"/>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sz w:val="30"/>
          <w:szCs w:val="30"/>
        </w:rPr>
      </w:pPr>
      <w:r>
        <w:rPr>
          <w:rFonts w:hint="eastAsia" w:ascii="黑体" w:hAnsi="黑体" w:eastAsia="黑体"/>
          <w:sz w:val="30"/>
          <w:szCs w:val="30"/>
        </w:rPr>
        <w:t>全国</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举报电话：010-12389；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举报网站：</w:t>
      </w:r>
      <w:r>
        <w:rPr>
          <w:rFonts w:hint="eastAsia" w:ascii="仿宋_GB2312" w:hAnsi="黑体"/>
          <w:sz w:val="30"/>
          <w:szCs w:val="30"/>
        </w:rPr>
        <w:fldChar w:fldCharType="begin"/>
      </w:r>
      <w:r>
        <w:rPr>
          <w:rFonts w:hint="eastAsia" w:ascii="仿宋_GB2312" w:hAnsi="黑体"/>
          <w:sz w:val="30"/>
          <w:szCs w:val="30"/>
        </w:rPr>
        <w:instrText xml:space="preserve"> HYPERLINK "http://www.12389.gov.cn；" </w:instrText>
      </w:r>
      <w:r>
        <w:rPr>
          <w:rFonts w:hint="eastAsia" w:ascii="仿宋_GB2312" w:hAnsi="黑体"/>
          <w:sz w:val="30"/>
          <w:szCs w:val="30"/>
        </w:rPr>
        <w:fldChar w:fldCharType="separate"/>
      </w:r>
      <w:r>
        <w:rPr>
          <w:rStyle w:val="6"/>
          <w:rFonts w:hint="eastAsia" w:ascii="仿宋_GB2312" w:hAnsi="黑体"/>
          <w:sz w:val="30"/>
          <w:szCs w:val="30"/>
        </w:rPr>
        <w:t>www.12389.gov.cn；</w:t>
      </w:r>
      <w:r>
        <w:rPr>
          <w:rFonts w:hint="eastAsia" w:ascii="仿宋_GB2312" w:hAnsi="黑体"/>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举报信箱：北京市邮政19001号信箱。</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仿宋_GB2312" w:hAnsi="黑体"/>
          <w:sz w:val="30"/>
          <w:szCs w:val="3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sz w:val="30"/>
          <w:szCs w:val="30"/>
        </w:rPr>
      </w:pPr>
      <w:r>
        <w:rPr>
          <w:rFonts w:hint="eastAsia" w:ascii="黑体" w:hAnsi="黑体" w:eastAsia="黑体"/>
          <w:sz w:val="30"/>
          <w:szCs w:val="30"/>
        </w:rPr>
        <w:t>河南省</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举报电话：0371-65884900；</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受理短信举报专用号码：18837109110，或通过“河南警民通”APP；</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邮寄方式:郑州市金水路9号河南省公安厅刑侦总队有组织犯罪侦查队，邮编450003。</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_GB2312" w:hAnsi="黑体"/>
          <w:sz w:val="30"/>
          <w:szCs w:val="3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sz w:val="30"/>
          <w:szCs w:val="30"/>
        </w:rPr>
      </w:pPr>
      <w:r>
        <w:rPr>
          <w:rFonts w:hint="eastAsia" w:ascii="黑体" w:hAnsi="黑体" w:eastAsia="黑体"/>
          <w:sz w:val="30"/>
          <w:szCs w:val="30"/>
        </w:rPr>
        <w:t>郑州市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举报电话：0371-69620976；</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举报网络：“郑州警民通”微信公众号、“郑州刑警CID”微信公众号；</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通讯地址：河南省郑州市管城回族区塔湾路50号郑州市公安局“扫黑办”。</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_GB2312" w:hAnsi="黑体"/>
          <w:spacing w:val="0"/>
          <w:w w:val="100"/>
          <w:sz w:val="30"/>
          <w:szCs w:val="3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sz w:val="30"/>
          <w:szCs w:val="30"/>
        </w:rPr>
      </w:pPr>
      <w:r>
        <w:rPr>
          <w:rFonts w:hint="eastAsia" w:ascii="黑体" w:hAnsi="黑体" w:eastAsia="黑体"/>
          <w:sz w:val="30"/>
          <w:szCs w:val="30"/>
        </w:rPr>
        <w:t>信阳市</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举报电话：0376-6520119,</w:t>
      </w:r>
    </w:p>
    <w:p>
      <w:pPr>
        <w:keepNext w:val="0"/>
        <w:keepLines w:val="0"/>
        <w:pageBreakBefore w:val="0"/>
        <w:widowControl w:val="0"/>
        <w:kinsoku/>
        <w:wordWrap/>
        <w:overflowPunct/>
        <w:topLinePunct w:val="0"/>
        <w:autoSpaceDE/>
        <w:autoSpaceDN/>
        <w:bidi w:val="0"/>
        <w:adjustRightInd/>
        <w:snapToGrid/>
        <w:spacing w:line="500" w:lineRule="exact"/>
        <w:ind w:firstLine="2100" w:firstLineChars="700"/>
        <w:textAlignment w:val="auto"/>
        <w:outlineLvl w:val="9"/>
        <w:rPr>
          <w:rFonts w:hint="eastAsia" w:ascii="仿宋_GB2312" w:hAnsi="黑体"/>
          <w:sz w:val="30"/>
          <w:szCs w:val="30"/>
        </w:rPr>
      </w:pPr>
      <w:r>
        <w:rPr>
          <w:rFonts w:hint="eastAsia" w:ascii="仿宋_GB2312" w:hAnsi="黑体"/>
          <w:sz w:val="30"/>
          <w:szCs w:val="30"/>
        </w:rPr>
        <w:t>0376-6520759；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举报邮箱：</w:t>
      </w:r>
      <w:r>
        <w:rPr>
          <w:rFonts w:ascii="仿宋_GB2312" w:hAnsi="黑体"/>
          <w:sz w:val="30"/>
          <w:szCs w:val="30"/>
        </w:rPr>
        <w:fldChar w:fldCharType="begin"/>
      </w:r>
      <w:r>
        <w:rPr>
          <w:rFonts w:ascii="仿宋_GB2312" w:hAnsi="黑体"/>
          <w:sz w:val="30"/>
          <w:szCs w:val="30"/>
        </w:rPr>
        <w:instrText xml:space="preserve"> HYPERLINK "mailto:</w:instrText>
      </w:r>
      <w:r>
        <w:rPr>
          <w:rFonts w:hint="eastAsia" w:ascii="仿宋_GB2312" w:hAnsi="黑体"/>
          <w:sz w:val="30"/>
          <w:szCs w:val="30"/>
        </w:rPr>
        <w:instrText xml:space="preserve">xyshce@163.com</w:instrText>
      </w:r>
      <w:r>
        <w:rPr>
          <w:rFonts w:ascii="仿宋_GB2312" w:hAnsi="黑体"/>
          <w:sz w:val="30"/>
          <w:szCs w:val="30"/>
        </w:rPr>
        <w:instrText xml:space="preserve">" </w:instrText>
      </w:r>
      <w:r>
        <w:rPr>
          <w:rFonts w:ascii="仿宋_GB2312" w:hAnsi="黑体"/>
          <w:sz w:val="30"/>
          <w:szCs w:val="30"/>
        </w:rPr>
        <w:fldChar w:fldCharType="separate"/>
      </w:r>
      <w:r>
        <w:rPr>
          <w:rFonts w:hint="eastAsia" w:ascii="仿宋_GB2312"/>
          <w:sz w:val="30"/>
          <w:szCs w:val="30"/>
        </w:rPr>
        <w:t>xyshce@163.com</w:t>
      </w:r>
      <w:r>
        <w:rPr>
          <w:rFonts w:ascii="仿宋_GB2312" w:hAnsi="黑体"/>
          <w:sz w:val="30"/>
          <w:szCs w:val="30"/>
        </w:rPr>
        <w:fldChar w:fldCharType="end"/>
      </w:r>
      <w:r>
        <w:rPr>
          <w:rFonts w:hint="eastAsia" w:ascii="仿宋_GB2312" w:hAnsi="黑体"/>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仿宋_GB2312" w:hAnsi="黑体"/>
          <w:sz w:val="30"/>
          <w:szCs w:val="30"/>
        </w:rPr>
      </w:pPr>
      <w:r>
        <w:rPr>
          <w:rFonts w:hint="eastAsia" w:ascii="仿宋_GB2312" w:hAnsi="黑体"/>
          <w:sz w:val="30"/>
          <w:szCs w:val="30"/>
        </w:rPr>
        <w:t>通讯地址：河南省信阳市羊山新区新二十四大街38号信阳市公安局“扫黑办”。</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_GB2312" w:hAnsi="黑体"/>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outlineLvl w:val="9"/>
        <w:rPr>
          <w:rFonts w:hint="eastAsia" w:ascii="黑体" w:hAnsi="黑体" w:eastAsia="黑体"/>
          <w:sz w:val="30"/>
          <w:szCs w:val="30"/>
        </w:rPr>
      </w:pPr>
      <w:bookmarkStart w:id="0" w:name="_GoBack"/>
      <w:bookmarkEnd w:id="0"/>
    </w:p>
    <w:sectPr>
      <w:footerReference r:id="rId3" w:type="default"/>
      <w:pgSz w:w="7881" w:h="11453"/>
      <w:pgMar w:top="1134" w:right="1134" w:bottom="1134" w:left="1134"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56BA25"/>
    <w:multiLevelType w:val="singleLevel"/>
    <w:tmpl w:val="E356BA25"/>
    <w:lvl w:ilvl="0" w:tentative="0">
      <w:start w:val="7"/>
      <w:numFmt w:val="decimal"/>
      <w:suff w:val="nothing"/>
      <w:lvlText w:val="%1、"/>
      <w:lvlJc w:val="left"/>
    </w:lvl>
  </w:abstractNum>
  <w:abstractNum w:abstractNumId="1">
    <w:nsid w:val="1B42CB10"/>
    <w:multiLevelType w:val="singleLevel"/>
    <w:tmpl w:val="1B42CB10"/>
    <w:lvl w:ilvl="0" w:tentative="0">
      <w:start w:val="1"/>
      <w:numFmt w:val="chineseCounting"/>
      <w:suff w:val="nothing"/>
      <w:lvlText w:val="%1、"/>
      <w:lvlJc w:val="left"/>
      <w:rPr>
        <w:rFonts w:hint="eastAsia"/>
      </w:rPr>
    </w:lvl>
  </w:abstractNum>
  <w:abstractNum w:abstractNumId="2">
    <w:nsid w:val="6E48A3C5"/>
    <w:multiLevelType w:val="singleLevel"/>
    <w:tmpl w:val="6E48A3C5"/>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924FEB"/>
    <w:rsid w:val="03BC34C1"/>
    <w:rsid w:val="0E3B457F"/>
    <w:rsid w:val="1FA93532"/>
    <w:rsid w:val="21924FEB"/>
    <w:rsid w:val="35B63563"/>
    <w:rsid w:val="3A362726"/>
    <w:rsid w:val="3A994ADF"/>
    <w:rsid w:val="573A50D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4\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24</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2018-09-06T02:36:00Z</dcterms:created>
  <dc:creator>此去经年。</dc:creator>
  <cp:lastModifiedBy>信阳卫生文明志愿使者</cp:lastModifiedBy>
  <dcterms:modified xsi:type="dcterms:W3CDTF">2020-07-17T07:00:05Z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